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41DC9" w14:textId="77777777" w:rsidR="0000316A" w:rsidRDefault="0000316A" w:rsidP="0000316A">
      <w:pPr>
        <w:rPr>
          <w:rFonts w:ascii="Courier New" w:hAnsi="Courier New" w:cs="Courier New"/>
          <w:b/>
          <w:bCs/>
        </w:rPr>
      </w:pPr>
    </w:p>
    <w:p w14:paraId="19241DCA" w14:textId="77777777" w:rsidR="0000316A" w:rsidRDefault="0000316A" w:rsidP="0000316A">
      <w:r>
        <w:t xml:space="preserve">Maturitní předmět: </w:t>
      </w:r>
      <w:r>
        <w:rPr>
          <w:b/>
        </w:rPr>
        <w:t xml:space="preserve">Ekonomika a Právní nauka </w:t>
      </w:r>
    </w:p>
    <w:p w14:paraId="19241DCB" w14:textId="53F3508B" w:rsidR="0000316A" w:rsidRDefault="0000316A" w:rsidP="0000316A">
      <w:r>
        <w:t xml:space="preserve">Třída: </w:t>
      </w:r>
      <w:smartTag w:uri="urn:schemas-microsoft-com:office:smarttags" w:element="metricconverter">
        <w:smartTagPr>
          <w:attr w:name="ProductID" w:val="4. C"/>
        </w:smartTagPr>
        <w:r>
          <w:rPr>
            <w:b/>
          </w:rPr>
          <w:t>4. C</w:t>
        </w:r>
      </w:smartTag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</w:t>
      </w:r>
      <w:r>
        <w:tab/>
        <w:t xml:space="preserve"> </w:t>
      </w:r>
      <w:r>
        <w:tab/>
        <w:t>Školní rok: 20</w:t>
      </w:r>
      <w:r w:rsidR="00B47A8D">
        <w:t>2</w:t>
      </w:r>
      <w:r w:rsidR="00871AA0">
        <w:t>4</w:t>
      </w:r>
      <w:r w:rsidR="00FE14AD">
        <w:t xml:space="preserve">/ </w:t>
      </w:r>
      <w:r w:rsidR="00B47A8D">
        <w:t>202</w:t>
      </w:r>
      <w:r w:rsidR="00871AA0">
        <w:t>5</w:t>
      </w:r>
    </w:p>
    <w:p w14:paraId="19241DCC" w14:textId="77777777" w:rsidR="0000316A" w:rsidRDefault="0000316A" w:rsidP="0000316A">
      <w:pPr>
        <w:rPr>
          <w:b/>
        </w:rPr>
      </w:pPr>
      <w:proofErr w:type="gramStart"/>
      <w:r>
        <w:t xml:space="preserve">Obor:  </w:t>
      </w:r>
      <w:r>
        <w:rPr>
          <w:b/>
        </w:rPr>
        <w:t>Informační</w:t>
      </w:r>
      <w:proofErr w:type="gramEnd"/>
      <w:r>
        <w:rPr>
          <w:b/>
        </w:rPr>
        <w:t xml:space="preserve"> služby (72-41-M/01)</w:t>
      </w:r>
    </w:p>
    <w:p w14:paraId="19241DCD" w14:textId="77777777" w:rsidR="0000316A" w:rsidRPr="0000316A" w:rsidRDefault="0000316A" w:rsidP="0000316A">
      <w:pPr>
        <w:rPr>
          <w:b/>
        </w:rPr>
      </w:pPr>
      <w:r>
        <w:t xml:space="preserve">Zaměření: </w:t>
      </w:r>
      <w:r>
        <w:rPr>
          <w:b/>
        </w:rPr>
        <w:t>Zpracování informací</w:t>
      </w:r>
    </w:p>
    <w:p w14:paraId="531273A0" w14:textId="77777777" w:rsidR="00FE14AD" w:rsidRPr="00A741A8" w:rsidRDefault="0000316A" w:rsidP="00FE14AD">
      <w:r>
        <w:t xml:space="preserve">Vypracovala: </w:t>
      </w:r>
      <w:r w:rsidR="00FE14AD" w:rsidRPr="00A741A8">
        <w:t>Ing. Irena Němcová, Mgr. Eva Mate.</w:t>
      </w:r>
    </w:p>
    <w:p w14:paraId="19241DCF" w14:textId="2E1ABEB2" w:rsidR="00606535" w:rsidRDefault="00606535" w:rsidP="0000316A"/>
    <w:p w14:paraId="19241DD0" w14:textId="4272FFAF" w:rsidR="0000316A" w:rsidRDefault="0000316A" w:rsidP="0000316A">
      <w:r>
        <w:t>Předmětová komise schválila d</w:t>
      </w:r>
      <w:r w:rsidR="00891297">
        <w:t>ne</w:t>
      </w:r>
      <w:r w:rsidR="005E4F3A">
        <w:t xml:space="preserve"> </w:t>
      </w:r>
      <w:r w:rsidR="000F4190">
        <w:t>10</w:t>
      </w:r>
      <w:r w:rsidR="005E4F3A">
        <w:t>.0</w:t>
      </w:r>
      <w:r w:rsidR="000F4190">
        <w:t>9</w:t>
      </w:r>
      <w:r w:rsidR="005E4F3A">
        <w:t xml:space="preserve"> 202</w:t>
      </w:r>
      <w:r w:rsidR="00BC7121">
        <w:t>4</w:t>
      </w:r>
      <w:r>
        <w:tab/>
      </w:r>
      <w:r w:rsidR="009A283F">
        <w:tab/>
      </w:r>
      <w:r w:rsidR="009A283F">
        <w:tab/>
      </w:r>
      <w:r>
        <w:t>Podpis: ………………</w:t>
      </w:r>
    </w:p>
    <w:p w14:paraId="19241DD1" w14:textId="77777777" w:rsidR="0000316A" w:rsidRDefault="0000316A" w:rsidP="0000316A"/>
    <w:p w14:paraId="19241DD2" w14:textId="7F9B0EF2" w:rsidR="0000316A" w:rsidRDefault="0000316A" w:rsidP="0000316A">
      <w:r>
        <w:t xml:space="preserve">Schválil </w:t>
      </w:r>
      <w:r w:rsidR="00B47A8D">
        <w:t xml:space="preserve">Mgr. Miroslav </w:t>
      </w:r>
      <w:proofErr w:type="spellStart"/>
      <w:r w:rsidR="00B47A8D">
        <w:t>Tobyška</w:t>
      </w:r>
      <w:proofErr w:type="spellEnd"/>
      <w:r>
        <w:t>, ředi</w:t>
      </w:r>
      <w:r w:rsidR="00891297">
        <w:t xml:space="preserve">tel školy                     </w:t>
      </w:r>
      <w:r w:rsidR="00891297">
        <w:tab/>
      </w:r>
      <w:r>
        <w:t>Podpis: ………………</w:t>
      </w:r>
    </w:p>
    <w:p w14:paraId="19241DD6" w14:textId="53F5B44F" w:rsidR="0000316A" w:rsidRPr="00891297" w:rsidRDefault="00891297" w:rsidP="009B35AD">
      <w:r>
        <w:tab/>
      </w:r>
      <w:r>
        <w:tab/>
      </w:r>
      <w:r>
        <w:tab/>
      </w:r>
      <w:r w:rsidR="0000316A">
        <w:t xml:space="preserve">  </w:t>
      </w:r>
      <w:r w:rsidR="0000316A">
        <w:tab/>
        <w:t xml:space="preserve"> </w:t>
      </w:r>
      <w:r w:rsidR="0000316A" w:rsidRPr="009B35AD">
        <w:rPr>
          <w:b/>
          <w:bCs/>
        </w:rPr>
        <w:t xml:space="preserve">                                               </w:t>
      </w:r>
    </w:p>
    <w:p w14:paraId="7944FAC3" w14:textId="77777777" w:rsidR="00CD6922" w:rsidRDefault="00325BCE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ED5B95">
        <w:rPr>
          <w:b/>
        </w:rPr>
        <w:t>Ústavní právo</w:t>
      </w:r>
    </w:p>
    <w:p w14:paraId="414E52B9" w14:textId="71342A3B" w:rsidR="00ED5B95" w:rsidRPr="00ED5B95" w:rsidRDefault="00325BCE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891297">
        <w:rPr>
          <w:sz w:val="22"/>
        </w:rPr>
        <w:t>(Definice ústavního práva, ústava, typy států, Ústava České republiky, preambule, hlavy ústavy, charakteristika - moc zákonodárná, moc výkonná, moc soudní)</w:t>
      </w:r>
    </w:p>
    <w:p w14:paraId="155F4A02" w14:textId="77777777" w:rsidR="00CD6922" w:rsidRDefault="0000316A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ED5B95">
        <w:rPr>
          <w:b/>
        </w:rPr>
        <w:t>Základní ekonomické pojmy</w:t>
      </w:r>
      <w:r w:rsidR="00006629" w:rsidRPr="00ED5B95">
        <w:rPr>
          <w:b/>
        </w:rPr>
        <w:t>, tržní hospodářství</w:t>
      </w:r>
    </w:p>
    <w:p w14:paraId="2675C91B" w14:textId="675079D8" w:rsidR="00ED5B95" w:rsidRPr="00ED5B95" w:rsidRDefault="00006629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891297">
        <w:rPr>
          <w:sz w:val="22"/>
        </w:rPr>
        <w:t>(P</w:t>
      </w:r>
      <w:r w:rsidR="0000316A" w:rsidRPr="00891297">
        <w:rPr>
          <w:sz w:val="22"/>
        </w:rPr>
        <w:t>otřeby, statky, služby</w:t>
      </w:r>
      <w:r w:rsidRPr="00891297">
        <w:rPr>
          <w:sz w:val="22"/>
        </w:rPr>
        <w:t xml:space="preserve">, základní ekonomické systémy, </w:t>
      </w:r>
      <w:r w:rsidR="0000316A" w:rsidRPr="00891297">
        <w:rPr>
          <w:sz w:val="22"/>
        </w:rPr>
        <w:t>výrobní faktory, pr</w:t>
      </w:r>
      <w:r w:rsidRPr="00891297">
        <w:rPr>
          <w:sz w:val="22"/>
        </w:rPr>
        <w:t xml:space="preserve">áce, dělba práce, </w:t>
      </w:r>
      <w:r w:rsidR="0000316A" w:rsidRPr="00891297">
        <w:rPr>
          <w:sz w:val="22"/>
        </w:rPr>
        <w:t>specializace, kooperace</w:t>
      </w:r>
      <w:r w:rsidRPr="00891297">
        <w:rPr>
          <w:sz w:val="22"/>
        </w:rPr>
        <w:t>, zboží, trh a jeho zákony, nabídka, poptávka, cena, tržní rovnováha, subjekty trhu, konkurence dokonalá a nedokonalá, monopol, oligopol</w:t>
      </w:r>
      <w:r w:rsidR="0000316A" w:rsidRPr="00891297">
        <w:rPr>
          <w:sz w:val="22"/>
        </w:rPr>
        <w:t>)</w:t>
      </w:r>
    </w:p>
    <w:p w14:paraId="17B7D3CE" w14:textId="77777777" w:rsidR="00CD6922" w:rsidRDefault="00325BCE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ED5B95">
        <w:rPr>
          <w:b/>
        </w:rPr>
        <w:t>Pojem, zásady a prameny občanského práva</w:t>
      </w:r>
    </w:p>
    <w:p w14:paraId="66B7A22D" w14:textId="364BDF07" w:rsidR="00ED5B95" w:rsidRPr="00ED5B95" w:rsidRDefault="00325BCE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891297">
        <w:rPr>
          <w:sz w:val="22"/>
        </w:rPr>
        <w:t>(Definice, hlavní a další zásady, hlavní pramen a jeho charakteristika, fyzická osoba, právní osobnost a zletilost, charakteristika právnické osoby, vznik, rozlišení, působnost, jednání PO a zrušení PO)</w:t>
      </w:r>
    </w:p>
    <w:p w14:paraId="3905201F" w14:textId="77777777" w:rsidR="00CD6922" w:rsidRDefault="00006629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ED5B95">
        <w:rPr>
          <w:b/>
        </w:rPr>
        <w:t xml:space="preserve">Živnostenské podnikání </w:t>
      </w:r>
    </w:p>
    <w:p w14:paraId="55D555AA" w14:textId="376F044F" w:rsidR="00ED5B95" w:rsidRDefault="006D2706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891297">
        <w:rPr>
          <w:sz w:val="22"/>
        </w:rPr>
        <w:t>(P</w:t>
      </w:r>
      <w:r w:rsidR="00006629" w:rsidRPr="00891297">
        <w:rPr>
          <w:sz w:val="22"/>
        </w:rPr>
        <w:t>rávní formy podnikání, rysy podnikatele, živnost – charakteristika, rozdělení dle ŽZ, podmínky pro vznik živnosti, živnostenský rejstřík, živnostenský list, postup při založení živnosti, povinnosti živnostníka, živnostenská kontrola, ukončení podnikání)</w:t>
      </w:r>
    </w:p>
    <w:p w14:paraId="096B42C5" w14:textId="77777777" w:rsidR="00CD6922" w:rsidRDefault="00325BCE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ED5B95">
        <w:rPr>
          <w:b/>
        </w:rPr>
        <w:t>Pojem, zásady a prameny rodinného práva dle OZ</w:t>
      </w:r>
    </w:p>
    <w:p w14:paraId="41F2DEB3" w14:textId="75062FF8" w:rsidR="00ED5B95" w:rsidRPr="00ED5B95" w:rsidRDefault="00325BCE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891297">
        <w:rPr>
          <w:sz w:val="22"/>
        </w:rPr>
        <w:t>(Pojem, zásady a prameny, vznik manželství, vztahy mezi manžely, rodina, příbuzenství, majetkové právo manželů, bydlení manželů, zánik manželství, vztahy mezi rodiči a dětmi)</w:t>
      </w:r>
    </w:p>
    <w:p w14:paraId="538FAD09" w14:textId="77777777" w:rsidR="00CD6922" w:rsidRDefault="00006629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ED5B95">
        <w:rPr>
          <w:b/>
        </w:rPr>
        <w:t>Podnikání právnických osob</w:t>
      </w:r>
    </w:p>
    <w:p w14:paraId="183B75FF" w14:textId="1110FB91" w:rsidR="00ED5B95" w:rsidRPr="00ED5B95" w:rsidRDefault="006D2706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891297">
        <w:rPr>
          <w:sz w:val="22"/>
        </w:rPr>
        <w:t>(C</w:t>
      </w:r>
      <w:r w:rsidR="00006629" w:rsidRPr="00891297">
        <w:rPr>
          <w:sz w:val="22"/>
        </w:rPr>
        <w:t>harakteristika, vznik, obchodní rejstřík, základní kapitál, formy obchodních společností, zánik, družstvo)</w:t>
      </w:r>
    </w:p>
    <w:p w14:paraId="41193059" w14:textId="77777777" w:rsidR="00CD6922" w:rsidRDefault="00325BCE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ED5B95">
        <w:rPr>
          <w:b/>
        </w:rPr>
        <w:t>Absolutní majetková práva podle Občanského zákoníku</w:t>
      </w:r>
    </w:p>
    <w:p w14:paraId="182E528B" w14:textId="4E056C51" w:rsidR="00ED5B95" w:rsidRPr="00ED5B95" w:rsidRDefault="00325BCE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891297">
        <w:rPr>
          <w:sz w:val="22"/>
        </w:rPr>
        <w:t>(Rozlišení majetkových práv, právní pojetí věci a majetek, dělení věcí a jejich charakteristika, věcná práva k vlastním věcem, držba, vlastnictví, spoluvlastnictví, právo duševního vlastnictví, věcná práva k cizím věcem, právo stavby, věcná břemena, zástavní právo, dědické právo)</w:t>
      </w:r>
    </w:p>
    <w:p w14:paraId="2AFB31F3" w14:textId="77777777" w:rsidR="00CD6922" w:rsidRDefault="00006629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ED5B95">
        <w:rPr>
          <w:b/>
        </w:rPr>
        <w:t xml:space="preserve">Majetek podniku </w:t>
      </w:r>
      <w:r w:rsidR="00325BCE" w:rsidRPr="00ED5B95">
        <w:rPr>
          <w:b/>
        </w:rPr>
        <w:t xml:space="preserve">dlouhodobý a </w:t>
      </w:r>
      <w:r w:rsidRPr="00ED5B95">
        <w:rPr>
          <w:b/>
        </w:rPr>
        <w:t xml:space="preserve">oběžný </w:t>
      </w:r>
    </w:p>
    <w:p w14:paraId="3D48CC11" w14:textId="5CEA7E46" w:rsidR="00ED5B95" w:rsidRPr="00ED5B95" w:rsidRDefault="00006629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891297">
        <w:rPr>
          <w:sz w:val="22"/>
        </w:rPr>
        <w:t>(</w:t>
      </w:r>
      <w:r w:rsidR="006D2706" w:rsidRPr="00891297">
        <w:rPr>
          <w:sz w:val="22"/>
        </w:rPr>
        <w:t>M</w:t>
      </w:r>
      <w:r w:rsidRPr="00891297">
        <w:rPr>
          <w:sz w:val="22"/>
        </w:rPr>
        <w:t xml:space="preserve">ajetek podniku, charakteristika </w:t>
      </w:r>
      <w:r w:rsidR="00325BCE" w:rsidRPr="00891297">
        <w:rPr>
          <w:sz w:val="22"/>
        </w:rPr>
        <w:t xml:space="preserve">dlouhodobého i </w:t>
      </w:r>
      <w:r w:rsidRPr="00891297">
        <w:rPr>
          <w:sz w:val="22"/>
        </w:rPr>
        <w:t>oběžného majetku, základní členěn</w:t>
      </w:r>
      <w:r w:rsidR="00325BCE" w:rsidRPr="00891297">
        <w:rPr>
          <w:sz w:val="22"/>
        </w:rPr>
        <w:t>í, evidence, plánování, kapacita, opotřebení DM</w:t>
      </w:r>
      <w:r w:rsidR="00EA6666" w:rsidRPr="00891297">
        <w:rPr>
          <w:sz w:val="22"/>
        </w:rPr>
        <w:t xml:space="preserve">, technické zhodnocení, </w:t>
      </w:r>
      <w:r w:rsidR="00325BCE" w:rsidRPr="00891297">
        <w:rPr>
          <w:sz w:val="22"/>
        </w:rPr>
        <w:t>druhy zásob z hlediska použití v podniku, metody řízení</w:t>
      </w:r>
      <w:r w:rsidRPr="00891297">
        <w:rPr>
          <w:sz w:val="22"/>
        </w:rPr>
        <w:t xml:space="preserve"> zásob)</w:t>
      </w:r>
    </w:p>
    <w:p w14:paraId="46182DEA" w14:textId="77777777" w:rsidR="00CD6922" w:rsidRDefault="00EA6666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ED5B95">
        <w:rPr>
          <w:b/>
        </w:rPr>
        <w:t>Relativní majetková práva dle Občanského zákoníku</w:t>
      </w:r>
    </w:p>
    <w:p w14:paraId="7C2B57CF" w14:textId="0CFFA2E0" w:rsidR="00ED5B95" w:rsidRPr="00ED5B95" w:rsidRDefault="00EA6666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891297">
        <w:rPr>
          <w:sz w:val="22"/>
        </w:rPr>
        <w:t>(Obsah závazku, vznik závazku, odpovědnost za vady, změny, zajištění a zánik závazku, podrobná charakteristika)</w:t>
      </w:r>
    </w:p>
    <w:p w14:paraId="7A0039DB" w14:textId="77777777" w:rsidR="00CD6922" w:rsidRDefault="00EA6666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ED5B95">
        <w:rPr>
          <w:b/>
        </w:rPr>
        <w:lastRenderedPageBreak/>
        <w:t>Financování podniku</w:t>
      </w:r>
    </w:p>
    <w:p w14:paraId="3098C1AF" w14:textId="0CECF85A" w:rsidR="006D2706" w:rsidRPr="006D2706" w:rsidRDefault="006D2706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891297">
        <w:rPr>
          <w:sz w:val="22"/>
        </w:rPr>
        <w:t>(F</w:t>
      </w:r>
      <w:r w:rsidR="00EA6666" w:rsidRPr="00891297">
        <w:rPr>
          <w:sz w:val="22"/>
        </w:rPr>
        <w:t>inancování z vlastních a cizích zdrojů, členění nákladů a výnosů, kalkulace, výsledek hospodaření – zisk, ztráta, rozdělení a použití zisku, vypořádání ztráty)</w:t>
      </w:r>
    </w:p>
    <w:p w14:paraId="6290C2FA" w14:textId="77777777" w:rsidR="00CD6922" w:rsidRDefault="00AD6859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6D2706">
        <w:rPr>
          <w:b/>
        </w:rPr>
        <w:t xml:space="preserve"> </w:t>
      </w:r>
      <w:r w:rsidR="007F679E" w:rsidRPr="006D2706">
        <w:rPr>
          <w:b/>
        </w:rPr>
        <w:t>Závazky z</w:t>
      </w:r>
      <w:r w:rsidR="009E011B">
        <w:rPr>
          <w:b/>
        </w:rPr>
        <w:t> </w:t>
      </w:r>
      <w:r w:rsidR="007F679E" w:rsidRPr="006D2706">
        <w:rPr>
          <w:b/>
        </w:rPr>
        <w:t>pojmenovaných</w:t>
      </w:r>
      <w:r w:rsidR="009E011B">
        <w:rPr>
          <w:b/>
        </w:rPr>
        <w:t>, příkazních a odvážných smluv a závazky z protiprávních ujednání</w:t>
      </w:r>
    </w:p>
    <w:p w14:paraId="70583BF3" w14:textId="14CB9E9E" w:rsidR="006D2706" w:rsidRPr="006D2706" w:rsidRDefault="007F679E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891297">
        <w:rPr>
          <w:sz w:val="22"/>
        </w:rPr>
        <w:t>(Darování, koupě, směna, nájem, pacht, dílo, licence, zápůjčka, úvěr, výprosa, příkaz, odpovědnost za školu a za majetkovou ujmu)</w:t>
      </w:r>
    </w:p>
    <w:p w14:paraId="18A92CCA" w14:textId="77777777" w:rsidR="00CD6922" w:rsidRDefault="007F679E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6D2706">
        <w:rPr>
          <w:b/>
        </w:rPr>
        <w:t>Marketing a management</w:t>
      </w:r>
    </w:p>
    <w:p w14:paraId="1F580136" w14:textId="6EDC68B0" w:rsidR="006D2706" w:rsidRPr="006D2706" w:rsidRDefault="006D2706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151A07">
        <w:rPr>
          <w:sz w:val="22"/>
        </w:rPr>
        <w:t>(P</w:t>
      </w:r>
      <w:r w:rsidR="007F679E" w:rsidRPr="00151A07">
        <w:rPr>
          <w:sz w:val="22"/>
        </w:rPr>
        <w:t>odstata marketingu, marketingový průzkum, marketingové plánování, metody situační analýzy, marketing- mix, charakteristika managementu</w:t>
      </w:r>
      <w:proofErr w:type="gramStart"/>
      <w:r w:rsidR="007F679E" w:rsidRPr="00151A07">
        <w:rPr>
          <w:sz w:val="22"/>
        </w:rPr>
        <w:t>, ,</w:t>
      </w:r>
      <w:proofErr w:type="gramEnd"/>
      <w:r w:rsidR="007F679E" w:rsidRPr="00151A07">
        <w:rPr>
          <w:sz w:val="22"/>
        </w:rPr>
        <w:t xml:space="preserve"> profil manažera, styly řídicí práce, základní manažerské činnosti</w:t>
      </w:r>
      <w:r w:rsidR="00891297" w:rsidRPr="00151A07">
        <w:rPr>
          <w:sz w:val="22"/>
        </w:rPr>
        <w:t>)</w:t>
      </w:r>
    </w:p>
    <w:p w14:paraId="09F87B03" w14:textId="77777777" w:rsidR="00CD6922" w:rsidRPr="00CD6922" w:rsidRDefault="007F679E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6D2706">
        <w:rPr>
          <w:b/>
        </w:rPr>
        <w:t>Pojem, zásady a prameny správního práva</w:t>
      </w:r>
      <w:r>
        <w:t xml:space="preserve"> </w:t>
      </w:r>
    </w:p>
    <w:p w14:paraId="11CC146F" w14:textId="7105E393" w:rsidR="006D2706" w:rsidRPr="006D2706" w:rsidRDefault="007F679E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151A07">
        <w:rPr>
          <w:sz w:val="22"/>
        </w:rPr>
        <w:t>(Pojem a prameny, charakteristika obce a její hospodaření a působnost, občané a orgány obce, obecní rada, zastupitelstvo, starosta a obecní úřad, charakteristika kraje, orgány kraje a správní řízení)</w:t>
      </w:r>
    </w:p>
    <w:p w14:paraId="02C166B6" w14:textId="77777777" w:rsidR="00CD6922" w:rsidRDefault="007F679E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6D2706">
        <w:rPr>
          <w:b/>
        </w:rPr>
        <w:t>Pracovně právní vztahy</w:t>
      </w:r>
    </w:p>
    <w:p w14:paraId="4AFF61BF" w14:textId="383C7781" w:rsidR="006D2706" w:rsidRPr="006D2706" w:rsidRDefault="007F679E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151A07">
        <w:rPr>
          <w:sz w:val="22"/>
        </w:rPr>
        <w:t>(</w:t>
      </w:r>
      <w:r w:rsidR="006D2706" w:rsidRPr="00151A07">
        <w:rPr>
          <w:sz w:val="22"/>
        </w:rPr>
        <w:t>Personální činnost,</w:t>
      </w:r>
      <w:r w:rsidRPr="00151A07">
        <w:rPr>
          <w:sz w:val="22"/>
        </w:rPr>
        <w:t xml:space="preserve"> vznik pracovního poměru, pracovní smlouva a její náležitosti, povinnosti plynoucí z pracovního poměru, změny a ukončení pracovního poměru, práce konané mimo pracovní poměr, pracovní doba, dovolená, povinnosti zaměstnance a zaměstnavatele)</w:t>
      </w:r>
    </w:p>
    <w:p w14:paraId="3F7CDE36" w14:textId="77777777" w:rsidR="00CD6922" w:rsidRDefault="007F679E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6D2706">
        <w:rPr>
          <w:b/>
        </w:rPr>
        <w:t>Trestní právo hmotné</w:t>
      </w:r>
    </w:p>
    <w:p w14:paraId="1CF609D0" w14:textId="6CFCF62C" w:rsidR="006D2706" w:rsidRPr="006D2706" w:rsidRDefault="007F679E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151A07">
        <w:rPr>
          <w:sz w:val="22"/>
        </w:rPr>
        <w:t>(Pojem, prameny, účel, trestné činy, pachatelé, podmínky trestní odpovědnosti FO, skutková podstata, vina a její dělení, okolnosti vylučující trestnost)</w:t>
      </w:r>
    </w:p>
    <w:p w14:paraId="07D49431" w14:textId="77777777" w:rsidR="00CD6922" w:rsidRDefault="00ED5B95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6D2706">
        <w:rPr>
          <w:b/>
        </w:rPr>
        <w:t>Odměňování, trh práce</w:t>
      </w:r>
    </w:p>
    <w:p w14:paraId="653D168A" w14:textId="13BAFEFB" w:rsidR="006D2706" w:rsidRPr="006D2706" w:rsidRDefault="00ED5B95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151A07">
        <w:rPr>
          <w:sz w:val="22"/>
        </w:rPr>
        <w:t>(</w:t>
      </w:r>
      <w:r w:rsidR="006D2706" w:rsidRPr="00151A07">
        <w:rPr>
          <w:sz w:val="22"/>
        </w:rPr>
        <w:t>T</w:t>
      </w:r>
      <w:r w:rsidRPr="00151A07">
        <w:rPr>
          <w:sz w:val="22"/>
        </w:rPr>
        <w:t>rh práce, odměňování, platy a mzdy, mzdové předpisy, složky mzdy, základní mzda, hrubá mzda, čistá mzda, nezaměstnanost, sociální politika státu)</w:t>
      </w:r>
    </w:p>
    <w:p w14:paraId="7C075FB3" w14:textId="77777777" w:rsidR="00CD6922" w:rsidRDefault="007F679E" w:rsidP="00CD6922">
      <w:pPr>
        <w:pStyle w:val="Odstavecseseznamem"/>
        <w:numPr>
          <w:ilvl w:val="0"/>
          <w:numId w:val="6"/>
        </w:numPr>
        <w:spacing w:after="200"/>
        <w:ind w:left="0" w:hanging="426"/>
        <w:contextualSpacing w:val="0"/>
        <w:jc w:val="both"/>
        <w:rPr>
          <w:b/>
        </w:rPr>
      </w:pPr>
      <w:r w:rsidRPr="006D2706">
        <w:rPr>
          <w:b/>
        </w:rPr>
        <w:t>Tresty a ochranná opatření fyzických osob</w:t>
      </w:r>
    </w:p>
    <w:p w14:paraId="13CE6560" w14:textId="731B5E8E" w:rsidR="006D2706" w:rsidRPr="006D2706" w:rsidRDefault="007F679E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151A07">
        <w:rPr>
          <w:sz w:val="22"/>
        </w:rPr>
        <w:t>(Dvanáct druhů trestů a jejich charakteristika, polehčující a přitěžující okolnosti, ochranná opatření, trestní odpovědnost mladistvých, skutková podstata trestných činů, třináct hlav trestných činů a jejich příklady, zvlášť nebezpečné trestné činy)</w:t>
      </w:r>
    </w:p>
    <w:p w14:paraId="4FB73379" w14:textId="77777777" w:rsidR="00CD6922" w:rsidRDefault="00ED5B95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6D2706">
        <w:rPr>
          <w:b/>
        </w:rPr>
        <w:t xml:space="preserve">Daňová soustava ČR </w:t>
      </w:r>
    </w:p>
    <w:p w14:paraId="09086447" w14:textId="69AA9230" w:rsidR="006D2706" w:rsidRPr="006D2706" w:rsidRDefault="006D2706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151A07">
        <w:rPr>
          <w:sz w:val="22"/>
        </w:rPr>
        <w:t>(Poplatník, plátce, daně přímé a nepřímé</w:t>
      </w:r>
      <w:r w:rsidR="00ED5B95" w:rsidRPr="00151A07">
        <w:rPr>
          <w:sz w:val="22"/>
        </w:rPr>
        <w:t>, daň z příjmu fyzických a právnických osob, DPH, spotřební daně, ostatní daně, s</w:t>
      </w:r>
      <w:r w:rsidR="00ED5B95" w:rsidRPr="00151A07">
        <w:rPr>
          <w:bCs/>
          <w:sz w:val="22"/>
        </w:rPr>
        <w:t>ociální a zdravotní pojištění)</w:t>
      </w:r>
    </w:p>
    <w:p w14:paraId="4169D7DA" w14:textId="77777777" w:rsidR="00CD6922" w:rsidRDefault="00ED5B95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6D2706">
        <w:rPr>
          <w:b/>
        </w:rPr>
        <w:t>Trestní právo procesní a trestní odpovědnost právnických osob</w:t>
      </w:r>
    </w:p>
    <w:p w14:paraId="48E25CAC" w14:textId="6D02A998" w:rsidR="006D2706" w:rsidRPr="00CD6922" w:rsidRDefault="00ED5B95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CD6922">
        <w:rPr>
          <w:sz w:val="22"/>
        </w:rPr>
        <w:t>(Pojem a prameny procesního práva, státní orgány činné v trestním řízení, základní zásady trestního práva, pět etap průběhu trestního řízení, trestné činy spáchané PO, osm druhů trestů pro PO)</w:t>
      </w:r>
    </w:p>
    <w:p w14:paraId="0A2EB586" w14:textId="77777777" w:rsidR="00CD6922" w:rsidRDefault="00ED5B95" w:rsidP="00CD6922">
      <w:pPr>
        <w:pStyle w:val="Odstavecseseznamem"/>
        <w:numPr>
          <w:ilvl w:val="0"/>
          <w:numId w:val="6"/>
        </w:numPr>
        <w:ind w:left="0" w:hanging="425"/>
        <w:contextualSpacing w:val="0"/>
        <w:jc w:val="both"/>
        <w:rPr>
          <w:b/>
        </w:rPr>
      </w:pPr>
      <w:r w:rsidRPr="006D2706">
        <w:rPr>
          <w:b/>
        </w:rPr>
        <w:t xml:space="preserve">Peníze </w:t>
      </w:r>
    </w:p>
    <w:p w14:paraId="19241E23" w14:textId="3FB56C17" w:rsidR="0000316A" w:rsidRPr="00F1679E" w:rsidRDefault="00ED5B95" w:rsidP="00CD6922">
      <w:pPr>
        <w:pStyle w:val="Odstavecseseznamem"/>
        <w:spacing w:after="200"/>
        <w:ind w:left="0"/>
        <w:contextualSpacing w:val="0"/>
        <w:jc w:val="both"/>
        <w:rPr>
          <w:b/>
        </w:rPr>
      </w:pPr>
      <w:r w:rsidRPr="00151A07">
        <w:rPr>
          <w:sz w:val="22"/>
        </w:rPr>
        <w:t>(</w:t>
      </w:r>
      <w:r w:rsidR="006D2706" w:rsidRPr="00151A07">
        <w:rPr>
          <w:sz w:val="22"/>
        </w:rPr>
        <w:t>F</w:t>
      </w:r>
      <w:r w:rsidRPr="00151A07">
        <w:rPr>
          <w:sz w:val="22"/>
        </w:rPr>
        <w:t>unkce peněz, platební styk, formy investování peněžních prostředků, kritéria hodnocení investic, služby komerčních bank, finanční trhy</w:t>
      </w:r>
      <w:r w:rsidR="006D2706" w:rsidRPr="00151A07">
        <w:rPr>
          <w:sz w:val="22"/>
        </w:rPr>
        <w:t>, cenné papíry</w:t>
      </w:r>
      <w:r w:rsidRPr="00151A07">
        <w:rPr>
          <w:bCs/>
          <w:sz w:val="22"/>
        </w:rPr>
        <w:t>)</w:t>
      </w:r>
    </w:p>
    <w:sectPr w:rsidR="0000316A" w:rsidRPr="00F1679E" w:rsidSect="00DA40C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85C6E" w14:textId="77777777" w:rsidR="00B94A21" w:rsidRDefault="00B94A21" w:rsidP="009A283F">
      <w:r>
        <w:separator/>
      </w:r>
    </w:p>
  </w:endnote>
  <w:endnote w:type="continuationSeparator" w:id="0">
    <w:p w14:paraId="5D5FD4B9" w14:textId="77777777" w:rsidR="00B94A21" w:rsidRDefault="00B94A21" w:rsidP="009A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8507B" w14:textId="77777777" w:rsidR="00B94A21" w:rsidRDefault="00B94A21" w:rsidP="009A283F">
      <w:r>
        <w:separator/>
      </w:r>
    </w:p>
  </w:footnote>
  <w:footnote w:type="continuationSeparator" w:id="0">
    <w:p w14:paraId="6651A335" w14:textId="77777777" w:rsidR="00B94A21" w:rsidRDefault="00B94A21" w:rsidP="009A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10046" w14:textId="2947DD17" w:rsidR="009A283F" w:rsidRDefault="009A283F" w:rsidP="009A283F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BA16B7" wp14:editId="5E0649F0">
          <wp:simplePos x="0" y="0"/>
          <wp:positionH relativeFrom="column">
            <wp:posOffset>-292735</wp:posOffset>
          </wp:positionH>
          <wp:positionV relativeFrom="paragraph">
            <wp:posOffset>34290</wp:posOffset>
          </wp:positionV>
          <wp:extent cx="605155" cy="722630"/>
          <wp:effectExtent l="0" t="0" r="4445" b="1270"/>
          <wp:wrapSquare wrapText="bothSides"/>
          <wp:docPr id="2" name="Obrázek 2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Střední průmyslová škola, Střední odborná škola</w:t>
    </w:r>
  </w:p>
  <w:p w14:paraId="16543BFF" w14:textId="77777777" w:rsidR="009A283F" w:rsidRDefault="009A283F" w:rsidP="009A283F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 Střední odborné učiliště, Hradec Králové</w:t>
    </w:r>
  </w:p>
  <w:p w14:paraId="388E72D0" w14:textId="77777777" w:rsidR="009A283F" w:rsidRDefault="009A283F" w:rsidP="009A283F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14:paraId="01BBDED6" w14:textId="42715EA1" w:rsidR="009A283F" w:rsidRPr="009A283F" w:rsidRDefault="009A283F" w:rsidP="009A283F">
    <w:pPr>
      <w:pStyle w:val="Zhlav"/>
      <w:spacing w:after="240" w:line="276" w:lineRule="auto"/>
      <w:jc w:val="center"/>
      <w:rPr>
        <w:rFonts w:ascii="Arial" w:hAnsi="Arial" w:cs="Arial"/>
      </w:rPr>
    </w:pPr>
    <w:r>
      <w:rPr>
        <w:rFonts w:ascii="Arial" w:hAnsi="Arial" w:cs="Arial"/>
      </w:rPr>
      <w:t>Hradební 1029, 500 03 Hradec Králové</w:t>
    </w:r>
  </w:p>
  <w:p w14:paraId="701FB60C" w14:textId="77777777" w:rsidR="009A283F" w:rsidRDefault="009A2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166A"/>
    <w:multiLevelType w:val="hybridMultilevel"/>
    <w:tmpl w:val="039A8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3E84"/>
    <w:multiLevelType w:val="hybridMultilevel"/>
    <w:tmpl w:val="51629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1C"/>
    <w:multiLevelType w:val="hybridMultilevel"/>
    <w:tmpl w:val="AA109DBA"/>
    <w:lvl w:ilvl="0" w:tplc="A94C4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3847"/>
    <w:multiLevelType w:val="hybridMultilevel"/>
    <w:tmpl w:val="39FE5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72E"/>
    <w:multiLevelType w:val="hybridMultilevel"/>
    <w:tmpl w:val="44420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540B"/>
    <w:multiLevelType w:val="hybridMultilevel"/>
    <w:tmpl w:val="656C3B28"/>
    <w:lvl w:ilvl="0" w:tplc="8B76AD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663649">
    <w:abstractNumId w:val="4"/>
  </w:num>
  <w:num w:numId="2" w16cid:durableId="367608940">
    <w:abstractNumId w:val="3"/>
  </w:num>
  <w:num w:numId="3" w16cid:durableId="1622229849">
    <w:abstractNumId w:val="0"/>
  </w:num>
  <w:num w:numId="4" w16cid:durableId="1501655092">
    <w:abstractNumId w:val="1"/>
  </w:num>
  <w:num w:numId="5" w16cid:durableId="873226311">
    <w:abstractNumId w:val="5"/>
  </w:num>
  <w:num w:numId="6" w16cid:durableId="1714619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6A"/>
    <w:rsid w:val="0000316A"/>
    <w:rsid w:val="00006629"/>
    <w:rsid w:val="0005222B"/>
    <w:rsid w:val="000A0CFE"/>
    <w:rsid w:val="000F4190"/>
    <w:rsid w:val="000F5D81"/>
    <w:rsid w:val="0010173F"/>
    <w:rsid w:val="00133A1B"/>
    <w:rsid w:val="00151A07"/>
    <w:rsid w:val="001B6409"/>
    <w:rsid w:val="002A4CA7"/>
    <w:rsid w:val="002D696A"/>
    <w:rsid w:val="00325BCE"/>
    <w:rsid w:val="00446435"/>
    <w:rsid w:val="00543972"/>
    <w:rsid w:val="0059261D"/>
    <w:rsid w:val="005E4F3A"/>
    <w:rsid w:val="00606535"/>
    <w:rsid w:val="006D2706"/>
    <w:rsid w:val="00717375"/>
    <w:rsid w:val="00736DCF"/>
    <w:rsid w:val="007B7DD8"/>
    <w:rsid w:val="007F679E"/>
    <w:rsid w:val="00871AA0"/>
    <w:rsid w:val="00891297"/>
    <w:rsid w:val="008F1935"/>
    <w:rsid w:val="008F6C1B"/>
    <w:rsid w:val="00954AD2"/>
    <w:rsid w:val="00960D9D"/>
    <w:rsid w:val="009A283F"/>
    <w:rsid w:val="009A74FA"/>
    <w:rsid w:val="009B35AD"/>
    <w:rsid w:val="009E011B"/>
    <w:rsid w:val="00A25568"/>
    <w:rsid w:val="00AD6859"/>
    <w:rsid w:val="00B47A8D"/>
    <w:rsid w:val="00B94A21"/>
    <w:rsid w:val="00BC7121"/>
    <w:rsid w:val="00BF6715"/>
    <w:rsid w:val="00C443C2"/>
    <w:rsid w:val="00C711A0"/>
    <w:rsid w:val="00CD6922"/>
    <w:rsid w:val="00D4522F"/>
    <w:rsid w:val="00D54B49"/>
    <w:rsid w:val="00DA40CD"/>
    <w:rsid w:val="00E40FE3"/>
    <w:rsid w:val="00E810D2"/>
    <w:rsid w:val="00EA6666"/>
    <w:rsid w:val="00ED4253"/>
    <w:rsid w:val="00ED5B95"/>
    <w:rsid w:val="00EF66B3"/>
    <w:rsid w:val="00F1679E"/>
    <w:rsid w:val="00F93E7A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241DC5"/>
  <w15:docId w15:val="{F8C63823-E62F-4FA9-81F2-7B2C2C9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0316A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00316A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B35AD"/>
    <w:pPr>
      <w:ind w:left="720"/>
      <w:contextualSpacing/>
    </w:pPr>
  </w:style>
  <w:style w:type="paragraph" w:styleId="Normlnweb">
    <w:name w:val="Normal (Web)"/>
    <w:basedOn w:val="Normln"/>
    <w:rsid w:val="009B35A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9A2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28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28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28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33C2F2B7E9EA42BCBD50C197360F7B" ma:contentTypeVersion="13" ma:contentTypeDescription="Vytvoří nový dokument" ma:contentTypeScope="" ma:versionID="6c593c1faef0224d91643b33f4dfa916">
  <xsd:schema xmlns:xsd="http://www.w3.org/2001/XMLSchema" xmlns:xs="http://www.w3.org/2001/XMLSchema" xmlns:p="http://schemas.microsoft.com/office/2006/metadata/properties" xmlns:ns3="44cc7258-ff5c-4258-8d09-eccee9cd9b64" xmlns:ns4="98773117-7073-4552-bb4f-8f75c6982550" targetNamespace="http://schemas.microsoft.com/office/2006/metadata/properties" ma:root="true" ma:fieldsID="5e22f0211757afab6ea39368e76bb6dd" ns3:_="" ns4:_="">
    <xsd:import namespace="44cc7258-ff5c-4258-8d09-eccee9cd9b64"/>
    <xsd:import namespace="98773117-7073-4552-bb4f-8f75c69825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7258-ff5c-4258-8d09-eccee9cd9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73117-7073-4552-bb4f-8f75c6982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028B4-9FA0-466A-A7CD-9567D0E95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c7258-ff5c-4258-8d09-eccee9cd9b64"/>
    <ds:schemaRef ds:uri="98773117-7073-4552-bb4f-8f75c6982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BADD4-B55B-4296-B7F6-58D05C5D5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019D8-902E-4C66-963A-0FB39A93B857}">
  <ds:schemaRefs>
    <ds:schemaRef ds:uri="http://schemas.microsoft.com/office/2006/documentManagement/types"/>
    <ds:schemaRef ds:uri="98773117-7073-4552-bb4f-8f75c6982550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44cc7258-ff5c-4258-8d09-eccee9cd9b64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 Hradební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Kučerová Irena</cp:lastModifiedBy>
  <cp:revision>7</cp:revision>
  <cp:lastPrinted>2024-05-13T05:48:00Z</cp:lastPrinted>
  <dcterms:created xsi:type="dcterms:W3CDTF">2023-01-27T07:02:00Z</dcterms:created>
  <dcterms:modified xsi:type="dcterms:W3CDTF">2024-10-03T10:14:00Z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0x010100B833C2F2B7E9EA42BCBD50C197360F7B</vt:lpwstr>
  </property>
</Properties>
</file>